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314" w14:textId="0653E045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ZAKONI I PROPISI KOJI SE ODNOSE NA PODRUČJE RADA GRADSKE UPRAVE</w:t>
      </w:r>
    </w:p>
    <w:p w14:paraId="5ACF7ABA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14:paraId="63318C4B" w14:textId="3E250F6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 o lokalnoj i područnoj (regionalnoj) samoupravi (»Na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softHyphen/>
        <w:t>rodne novine«, 33/01, 60/01, 129/05, 109/07, 125/08, 36/09, 36/09, 150/11, 144/12, 19/13, 137/15, 123/17)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40F7B89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 o općem upravnom postupku (»Na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softHyphen/>
        <w:t>rodne novine«, 47/09)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263CB96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Uredba o uredskom poslovanju (»Narodne novine«, 7/2009)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575AE82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Uredba o natpisnoj ploči i zaglavlju akta tijela državne uprave, lokalne, područne (regionalne) i mjesne samouprave, te pravnih osoba koje imaju javne ovlasti (»Narodne novine«, 34/02)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36C8D21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 o lokalnim izborima (»Narodne novine«, 144/12, 121/16)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85BD5C1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 o financiranju jedinica lokalne i područne (regio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softHyphen/>
        <w:t>nalne) samouprave (»Narodne novine« 127/17)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295A038" w14:textId="77777777" w:rsidR="00D45871" w:rsidRDefault="00D458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Zakon o lokalnim porezima (»Narodne novine«, 115/16, 101/17)</w:t>
      </w:r>
      <w:r w:rsidRPr="0070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6E6F67B" w14:textId="38BCCD84" w:rsidR="006B336F" w:rsidRDefault="00D45871">
      <w:r w:rsidRPr="00706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Opći porezni zakon (»Narodne novine«, 115/16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)</w:t>
      </w:r>
    </w:p>
    <w:sectPr w:rsidR="006B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71"/>
    <w:rsid w:val="006B336F"/>
    <w:rsid w:val="00D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92BA"/>
  <w15:chartTrackingRefBased/>
  <w15:docId w15:val="{FD136D8F-FE2C-4B67-A339-0548FE6C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GradOtok</cp:lastModifiedBy>
  <cp:revision>1</cp:revision>
  <dcterms:created xsi:type="dcterms:W3CDTF">2021-10-25T06:42:00Z</dcterms:created>
  <dcterms:modified xsi:type="dcterms:W3CDTF">2021-10-25T06:43:00Z</dcterms:modified>
</cp:coreProperties>
</file>